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69" w:rsidRDefault="00CA1869" w:rsidP="00CA1869">
      <w:pPr>
        <w:jc w:val="both"/>
      </w:pPr>
      <w:r>
        <w:rPr>
          <w:b/>
        </w:rPr>
        <w:t>Учебный план по дополнительной общеразвивающей общеобразовательной программе в области музыкального искусства «Хоровое пение»</w:t>
      </w:r>
    </w:p>
    <w:p w:rsidR="00CA1869" w:rsidRDefault="00CA1869" w:rsidP="00CA1869">
      <w:pPr>
        <w:jc w:val="both"/>
        <w:rPr>
          <w:b/>
        </w:rPr>
      </w:pPr>
    </w:p>
    <w:p w:rsidR="00CA1869" w:rsidRDefault="00CA1869" w:rsidP="00CA1869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pPr w:leftFromText="180" w:rightFromText="180" w:vertAnchor="page" w:horzAnchor="margin" w:tblpY="2493"/>
        <w:tblW w:w="9354" w:type="dxa"/>
        <w:tblCellMar>
          <w:left w:w="-5" w:type="dxa"/>
        </w:tblCellMar>
        <w:tblLook w:val="04A0"/>
      </w:tblPr>
      <w:tblGrid>
        <w:gridCol w:w="2376"/>
        <w:gridCol w:w="963"/>
        <w:gridCol w:w="1116"/>
        <w:gridCol w:w="541"/>
        <w:gridCol w:w="538"/>
        <w:gridCol w:w="434"/>
        <w:gridCol w:w="594"/>
        <w:gridCol w:w="552"/>
        <w:gridCol w:w="6"/>
        <w:gridCol w:w="408"/>
        <w:gridCol w:w="10"/>
        <w:gridCol w:w="507"/>
        <w:gridCol w:w="10"/>
        <w:gridCol w:w="509"/>
        <w:gridCol w:w="64"/>
        <w:gridCol w:w="726"/>
      </w:tblGrid>
      <w:tr w:rsidR="00CA1869" w:rsidTr="00976D7D">
        <w:trPr>
          <w:trHeight w:val="1115"/>
        </w:trPr>
        <w:tc>
          <w:tcPr>
            <w:tcW w:w="23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1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146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240" w:type="dxa"/>
            <w:gridSpan w:val="8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CA1869" w:rsidTr="00976D7D">
        <w:trPr>
          <w:cantSplit/>
          <w:trHeight w:hRule="exact" w:val="1488"/>
        </w:trPr>
        <w:tc>
          <w:tcPr>
            <w:tcW w:w="2376" w:type="dxa"/>
            <w:vMerge/>
            <w:shd w:val="clear" w:color="auto" w:fill="auto"/>
            <w:tcMar>
              <w:left w:w="-5" w:type="dxa"/>
            </w:tcMar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A1869" w:rsidRDefault="00CA1869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A1869" w:rsidRDefault="00CA1869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A1869" w:rsidRDefault="00CA1869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A1869" w:rsidRDefault="00CA1869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A1869" w:rsidRDefault="00CA1869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A1869" w:rsidRDefault="00CA1869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A1869" w:rsidRDefault="00CA1869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(итоговая) 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A1869" w:rsidRDefault="00CA1869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A1869" w:rsidRDefault="00CA1869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A1869" w:rsidRDefault="00CA1869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A1869" w:rsidRDefault="00CA1869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CA1869" w:rsidTr="00976D7D">
        <w:trPr>
          <w:cantSplit/>
          <w:trHeight w:val="118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CA1869" w:rsidTr="00976D7D">
        <w:trPr>
          <w:cantSplit/>
          <w:trHeight w:val="194"/>
        </w:trPr>
        <w:tc>
          <w:tcPr>
            <w:tcW w:w="237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</w:t>
            </w:r>
          </w:p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1044</w:t>
            </w:r>
          </w:p>
        </w:tc>
        <w:tc>
          <w:tcPr>
            <w:tcW w:w="111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260,5</w:t>
            </w:r>
          </w:p>
        </w:tc>
        <w:tc>
          <w:tcPr>
            <w:tcW w:w="1513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573,5</w:t>
            </w:r>
          </w:p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783,5</w:t>
            </w:r>
          </w:p>
        </w:tc>
        <w:tc>
          <w:tcPr>
            <w:tcW w:w="59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7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CA1869" w:rsidTr="00976D7D">
        <w:trPr>
          <w:cantSplit/>
          <w:trHeight w:val="224"/>
        </w:trPr>
        <w:tc>
          <w:tcPr>
            <w:tcW w:w="237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09" w:type="dxa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0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CA1869" w:rsidTr="00976D7D">
        <w:trPr>
          <w:cantSplit/>
          <w:trHeight w:val="205"/>
        </w:trPr>
        <w:tc>
          <w:tcPr>
            <w:tcW w:w="237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7"/>
            <w:shd w:val="clear" w:color="auto" w:fill="FFCC9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CA1869" w:rsidTr="00976D7D">
        <w:trPr>
          <w:cantSplit/>
          <w:trHeight w:val="362"/>
        </w:trPr>
        <w:tc>
          <w:tcPr>
            <w:tcW w:w="23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347,5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69,5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5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CA1869" w:rsidTr="00976D7D">
        <w:trPr>
          <w:cantSplit/>
          <w:trHeight w:val="400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A1869" w:rsidTr="00976D7D">
        <w:trPr>
          <w:cantSplit/>
          <w:trHeight w:val="355"/>
        </w:trPr>
        <w:tc>
          <w:tcPr>
            <w:tcW w:w="23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5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CA1869" w:rsidTr="00976D7D">
        <w:trPr>
          <w:cantSplit/>
          <w:trHeight w:val="451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CA1869" w:rsidTr="00976D7D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A1869" w:rsidTr="00976D7D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405B2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A1869" w:rsidTr="00976D7D">
        <w:trPr>
          <w:cantSplit/>
          <w:trHeight w:val="384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573,5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CA1869" w:rsidTr="00976D7D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260,5</w:t>
            </w: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CA1869" w:rsidTr="00976D7D">
        <w:trPr>
          <w:cantSplit/>
          <w:trHeight w:val="51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A1869" w:rsidTr="00976D7D">
        <w:trPr>
          <w:cantSplit/>
          <w:trHeight w:val="511"/>
        </w:trPr>
        <w:tc>
          <w:tcPr>
            <w:tcW w:w="237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11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59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CA1869" w:rsidTr="00976D7D">
        <w:trPr>
          <w:cantSplit/>
          <w:trHeight w:val="300"/>
        </w:trPr>
        <w:tc>
          <w:tcPr>
            <w:tcW w:w="237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A1869" w:rsidTr="00976D7D">
        <w:trPr>
          <w:cantSplit/>
          <w:trHeight w:val="290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783,5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CA1869" w:rsidTr="00976D7D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1044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260,5</w:t>
            </w: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A1869" w:rsidTr="00976D7D">
        <w:trPr>
          <w:cantSplit/>
          <w:trHeight w:val="433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CA1869" w:rsidRDefault="00CA1869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CA1869" w:rsidRDefault="00CA1869" w:rsidP="00CA1869">
      <w:pPr>
        <w:jc w:val="both"/>
        <w:rPr>
          <w:b/>
        </w:rPr>
      </w:pPr>
    </w:p>
    <w:p w:rsidR="00CA1869" w:rsidRDefault="00CA1869" w:rsidP="00CA1869">
      <w:pPr>
        <w:jc w:val="both"/>
        <w:rPr>
          <w:b/>
        </w:rPr>
      </w:pPr>
    </w:p>
    <w:p w:rsidR="00CA1869" w:rsidRDefault="00CA1869" w:rsidP="00CA1869">
      <w:pPr>
        <w:pStyle w:val="a3"/>
        <w:jc w:val="both"/>
      </w:pPr>
      <w:r>
        <w:rPr>
          <w:b/>
        </w:rPr>
        <w:t>Примечания к учебному плану</w:t>
      </w: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CA1869" w:rsidRDefault="00CA1869" w:rsidP="00CA1869">
      <w:pPr>
        <w:pStyle w:val="a3"/>
        <w:numPr>
          <w:ilvl w:val="0"/>
          <w:numId w:val="2"/>
        </w:numPr>
        <w:jc w:val="both"/>
      </w:pPr>
      <w:r>
        <w:t>групповые занятия от 11 человек – хоровой класс;</w:t>
      </w:r>
    </w:p>
    <w:p w:rsidR="00CA1869" w:rsidRDefault="00CA1869" w:rsidP="00CA1869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слушание музыки, вокальный ансамбль</w:t>
      </w:r>
    </w:p>
    <w:p w:rsidR="00CA1869" w:rsidRDefault="00CA1869" w:rsidP="00CA1869">
      <w:pPr>
        <w:pStyle w:val="a3"/>
        <w:numPr>
          <w:ilvl w:val="0"/>
          <w:numId w:val="1"/>
        </w:numPr>
        <w:jc w:val="both"/>
      </w:pPr>
      <w: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</w:t>
      </w:r>
      <w:r>
        <w:lastRenderedPageBreak/>
        <w:t>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CA1869" w:rsidRDefault="00CA1869" w:rsidP="00CA1869">
      <w:pPr>
        <w:pStyle w:val="a3"/>
        <w:numPr>
          <w:ilvl w:val="0"/>
          <w:numId w:val="3"/>
        </w:numPr>
        <w:jc w:val="both"/>
      </w:pPr>
      <w:r>
        <w:t>«Хоровой класс» – 0,5 часа в неделю</w:t>
      </w:r>
    </w:p>
    <w:p w:rsidR="00CA1869" w:rsidRDefault="00CA1869" w:rsidP="00CA1869">
      <w:pPr>
        <w:pStyle w:val="a3"/>
        <w:numPr>
          <w:ilvl w:val="0"/>
          <w:numId w:val="3"/>
        </w:numPr>
        <w:jc w:val="both"/>
      </w:pPr>
      <w:r>
        <w:t>«Сольфеджио» – 1 час в неделю</w:t>
      </w:r>
    </w:p>
    <w:p w:rsidR="00CA1869" w:rsidRDefault="00CA1869" w:rsidP="00CA1869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</w:t>
      </w:r>
    </w:p>
    <w:p w:rsidR="00CA1869" w:rsidRDefault="00CA1869" w:rsidP="00CA1869">
      <w:pPr>
        <w:pStyle w:val="a3"/>
        <w:numPr>
          <w:ilvl w:val="0"/>
          <w:numId w:val="3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CA1869" w:rsidRDefault="00CA1869" w:rsidP="00CA1869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CA1869" w:rsidRDefault="00CA1869" w:rsidP="00CA1869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CA1869" w:rsidRDefault="00CA1869" w:rsidP="00CA1869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CA1869" w:rsidRDefault="00CA1869" w:rsidP="00CA1869">
      <w:pPr>
        <w:pStyle w:val="a3"/>
        <w:numPr>
          <w:ilvl w:val="0"/>
          <w:numId w:val="4"/>
        </w:numPr>
        <w:jc w:val="both"/>
      </w:pPr>
      <w:r>
        <w:t>по учебному предмету "Хоровой класс" – 100 процентов от аудиторного учебного времени.</w:t>
      </w: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  <w:bookmarkStart w:id="0" w:name="__DdeLink__6781_54363358112"/>
      <w:bookmarkEnd w:id="0"/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CA1869" w:rsidRDefault="00CA1869" w:rsidP="00CA1869">
      <w:pPr>
        <w:pStyle w:val="a3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D4A"/>
    <w:multiLevelType w:val="multilevel"/>
    <w:tmpl w:val="451A5B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EA709F"/>
    <w:multiLevelType w:val="multilevel"/>
    <w:tmpl w:val="BE10F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02A88"/>
    <w:multiLevelType w:val="multilevel"/>
    <w:tmpl w:val="ADD675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824BEA"/>
    <w:multiLevelType w:val="multilevel"/>
    <w:tmpl w:val="23DC16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1869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A1869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69"/>
    <w:pPr>
      <w:ind w:left="720"/>
      <w:contextualSpacing/>
    </w:pPr>
  </w:style>
  <w:style w:type="table" w:styleId="a4">
    <w:name w:val="Table Grid"/>
    <w:basedOn w:val="a1"/>
    <w:uiPriority w:val="59"/>
    <w:rsid w:val="00CA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>Krokoz™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2018-02-05T13:46:00Z</dcterms:created>
  <dcterms:modified xsi:type="dcterms:W3CDTF">2018-02-05T13:46:00Z</dcterms:modified>
</cp:coreProperties>
</file>